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175A" w14:textId="77777777" w:rsidR="00EA2D2B" w:rsidRPr="00EA2D2B" w:rsidRDefault="00A978A9" w:rsidP="00EA2D2B">
      <w:pPr>
        <w:pStyle w:val="Heading2"/>
      </w:pPr>
      <w:r>
        <w:t>Disqualification Policy</w:t>
      </w:r>
    </w:p>
    <w:p w14:paraId="73ED175B" w14:textId="77777777" w:rsidR="00A978A9" w:rsidRDefault="00A978A9" w:rsidP="00A978A9">
      <w:pPr>
        <w:pStyle w:val="Heading3"/>
      </w:pPr>
      <w:r>
        <w:t>Definition</w:t>
      </w:r>
    </w:p>
    <w:p w14:paraId="73ED175C"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73ED175D" w14:textId="77777777" w:rsidR="00A978A9" w:rsidRPr="006037A0" w:rsidRDefault="00A978A9" w:rsidP="00A978A9">
      <w:pPr>
        <w:pStyle w:val="Heading3"/>
      </w:pPr>
      <w:r w:rsidRPr="006037A0">
        <w:t>Policy statement</w:t>
      </w:r>
    </w:p>
    <w:p w14:paraId="73ED175E"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A registered provider or a childcare worker may be disqualified from registration, in accordance with regulations made under section 75 of the Childcare Act 2006.</w:t>
      </w:r>
    </w:p>
    <w:p w14:paraId="73ED175F" w14:textId="402CCAE2"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 xml:space="preserve">In the event of the disqualification of a registered provider, the provider must not continue as an early </w:t>
      </w:r>
      <w:r w:rsidR="0051121B">
        <w:rPr>
          <w:rFonts w:ascii="Arial" w:hAnsi="Arial" w:cs="Arial"/>
          <w:sz w:val="20"/>
          <w:szCs w:val="20"/>
        </w:rPr>
        <w:t>year’s</w:t>
      </w:r>
      <w:r>
        <w:rPr>
          <w:rFonts w:ascii="Arial" w:hAnsi="Arial" w:cs="Arial"/>
          <w:sz w:val="20"/>
          <w:szCs w:val="20"/>
        </w:rPr>
        <w:t xml:space="preserve"> provider – nor be directly concerned in the management of such provision.  Where a person is </w:t>
      </w:r>
      <w:r w:rsidR="0051121B">
        <w:rPr>
          <w:rFonts w:ascii="Arial" w:hAnsi="Arial" w:cs="Arial"/>
          <w:sz w:val="20"/>
          <w:szCs w:val="20"/>
        </w:rPr>
        <w:t>disqualified,</w:t>
      </w:r>
      <w:r>
        <w:rPr>
          <w:rFonts w:ascii="Arial" w:hAnsi="Arial" w:cs="Arial"/>
          <w:sz w:val="20"/>
          <w:szCs w:val="20"/>
        </w:rPr>
        <w:t xml:space="preserve"> the provider must not employ that person in connection with early years provision.  Where an employer becomes aware of relevant information that may lead to disqualification of an employee, the provider must take appropriate action to ensure the safety of children.</w:t>
      </w:r>
    </w:p>
    <w:p w14:paraId="73ED1760" w14:textId="77777777" w:rsidR="00EA2D2B" w:rsidRPr="006037A0" w:rsidRDefault="00EA2D2B" w:rsidP="009F307F">
      <w:pPr>
        <w:pStyle w:val="Heading3"/>
      </w:pPr>
      <w:r w:rsidRPr="006037A0">
        <w:t>Procedures</w:t>
      </w:r>
    </w:p>
    <w:p w14:paraId="73ED1761"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A registered provider or a childcare worker may also be disqualified because they live in the same household as another person who is disqualified, or because they live in the same household where a disqualified person is employed.</w:t>
      </w:r>
    </w:p>
    <w:p w14:paraId="73ED1762" w14:textId="77777777" w:rsidR="00A978A9" w:rsidRDefault="00A978A9" w:rsidP="00A978A9">
      <w:pPr>
        <w:pStyle w:val="ListParagraph"/>
        <w:spacing w:line="360" w:lineRule="auto"/>
        <w:ind w:left="0"/>
        <w:jc w:val="both"/>
        <w:rPr>
          <w:rFonts w:ascii="Arial" w:hAnsi="Arial" w:cs="Arial"/>
          <w:sz w:val="20"/>
          <w:szCs w:val="20"/>
        </w:rPr>
      </w:pPr>
    </w:p>
    <w:p w14:paraId="73ED1763" w14:textId="4153910A"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 xml:space="preserve">A provider must notify Ofsted of any significant event which is likely to affect the suitability of any person who is in regular contact with children on the premises where childcare is provided.  The disqualification of an employee could be an instance of a significant event.  If a registered person is </w:t>
      </w:r>
      <w:r w:rsidR="005E2221">
        <w:rPr>
          <w:rFonts w:ascii="Arial" w:hAnsi="Arial" w:cs="Arial"/>
          <w:sz w:val="20"/>
          <w:szCs w:val="20"/>
        </w:rPr>
        <w:t>disqualified,</w:t>
      </w:r>
      <w:r>
        <w:rPr>
          <w:rFonts w:ascii="Arial" w:hAnsi="Arial" w:cs="Arial"/>
          <w:sz w:val="20"/>
          <w:szCs w:val="20"/>
        </w:rPr>
        <w:t xml:space="preserve"> they may, in some circumstances, be able to obtain a ‘waiver’ from Ofsted.</w:t>
      </w:r>
    </w:p>
    <w:p w14:paraId="73ED1764" w14:textId="77777777" w:rsidR="00A978A9" w:rsidRDefault="00A978A9" w:rsidP="00A978A9">
      <w:pPr>
        <w:pStyle w:val="ListParagraph"/>
        <w:spacing w:line="360" w:lineRule="auto"/>
        <w:ind w:left="0"/>
        <w:jc w:val="both"/>
        <w:rPr>
          <w:rFonts w:ascii="Arial" w:hAnsi="Arial" w:cs="Arial"/>
          <w:sz w:val="20"/>
          <w:szCs w:val="20"/>
        </w:rPr>
      </w:pPr>
    </w:p>
    <w:p w14:paraId="73ED1765"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The provider must give Ofsted the following information about themselves or about any person who lives in the same household as the registered provider, or who is employed in the household:</w:t>
      </w:r>
    </w:p>
    <w:p w14:paraId="73ED1766"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Details of any order, determination, conviction, or other ground for disqualification from registration under regulations made under section 75 of the Childcare Act 2006;</w:t>
      </w:r>
    </w:p>
    <w:p w14:paraId="73ED1767"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date of the order, determination or conviction, or the date when the other ground for disqualification arose;</w:t>
      </w:r>
    </w:p>
    <w:p w14:paraId="73ED1768"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lastRenderedPageBreak/>
        <w:t>The body or court which made the order, determination or conviction, and the sentence (if any) imposed; and</w:t>
      </w:r>
    </w:p>
    <w:p w14:paraId="73ED1769"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A certified copy of the relevant order (in relation to an order or conviction).</w:t>
      </w:r>
    </w:p>
    <w:p w14:paraId="73ED176A" w14:textId="77777777" w:rsidR="00A978A9" w:rsidRDefault="00A978A9" w:rsidP="00A978A9">
      <w:pPr>
        <w:pStyle w:val="ListParagraph"/>
        <w:spacing w:line="360" w:lineRule="auto"/>
        <w:jc w:val="both"/>
        <w:rPr>
          <w:rFonts w:ascii="Arial" w:hAnsi="Arial" w:cs="Arial"/>
          <w:sz w:val="20"/>
          <w:szCs w:val="20"/>
        </w:rPr>
      </w:pPr>
    </w:p>
    <w:p w14:paraId="73ED176B"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The information must be provided to Ofsted as soon as reasonably practicable, but at the latest within 14 days of the date the provider became aware of the information, or ought reasonably to have become aware of it they had made reasonable enquiries.</w:t>
      </w:r>
    </w:p>
    <w:p w14:paraId="73ED176C" w14:textId="77777777" w:rsidR="00A978A9" w:rsidRDefault="00A978A9" w:rsidP="00A978A9">
      <w:pPr>
        <w:pStyle w:val="ListParagraph"/>
        <w:spacing w:line="360" w:lineRule="auto"/>
        <w:ind w:left="0"/>
        <w:jc w:val="both"/>
        <w:rPr>
          <w:rFonts w:ascii="Arial" w:hAnsi="Arial" w:cs="Arial"/>
          <w:sz w:val="20"/>
          <w:szCs w:val="20"/>
        </w:rPr>
      </w:pPr>
    </w:p>
    <w:p w14:paraId="73ED176D"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childcare disqualification regulations 2009</w:t>
      </w:r>
    </w:p>
    <w:p w14:paraId="73ED176E"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early years foundation stage (welfare requirements) regulations 2012</w:t>
      </w:r>
    </w:p>
    <w:p w14:paraId="73ED176F"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Statutory framework for the early years foundation stage 2013</w:t>
      </w:r>
    </w:p>
    <w:p w14:paraId="62E78458" w14:textId="77777777" w:rsidR="003547B9" w:rsidRDefault="003547B9" w:rsidP="003547B9">
      <w:pPr>
        <w:suppressAutoHyphens/>
        <w:spacing w:after="0" w:line="360" w:lineRule="auto"/>
        <w:jc w:val="both"/>
        <w:rPr>
          <w:rFonts w:ascii="Arial" w:hAnsi="Arial" w:cs="Arial"/>
          <w:sz w:val="20"/>
          <w:szCs w:val="20"/>
        </w:rPr>
      </w:pPr>
    </w:p>
    <w:p w14:paraId="783C2A67" w14:textId="77777777" w:rsidR="003547B9" w:rsidRPr="003547B9" w:rsidRDefault="003547B9" w:rsidP="003547B9">
      <w:pPr>
        <w:pStyle w:val="Heading1"/>
        <w:rPr>
          <w:color w:val="0070C0"/>
          <w:sz w:val="36"/>
          <w:szCs w:val="36"/>
        </w:rPr>
      </w:pPr>
      <w:r w:rsidRPr="003547B9">
        <w:rPr>
          <w:color w:val="0070C0"/>
          <w:sz w:val="36"/>
          <w:szCs w:val="36"/>
        </w:rPr>
        <w:t>Adoption of Policy</w:t>
      </w:r>
    </w:p>
    <w:p w14:paraId="3733A9C1" w14:textId="77777777" w:rsidR="003547B9" w:rsidRDefault="003547B9" w:rsidP="003547B9"/>
    <w:p w14:paraId="54042029" w14:textId="77777777" w:rsidR="003547B9" w:rsidRDefault="003547B9" w:rsidP="003547B9">
      <w:r>
        <w:t>This policy was adopted as follows:</w:t>
      </w:r>
    </w:p>
    <w:p w14:paraId="3D52B6F0" w14:textId="77777777" w:rsidR="003547B9" w:rsidRDefault="003547B9" w:rsidP="003547B9">
      <w:r>
        <w:t>Meeting of Friends of Warmley Preschool</w:t>
      </w:r>
    </w:p>
    <w:p w14:paraId="2940DA33" w14:textId="77777777" w:rsidR="003547B9" w:rsidRDefault="003547B9" w:rsidP="003547B9">
      <w:r>
        <w:t>Date Held________________________________________________________________</w:t>
      </w:r>
    </w:p>
    <w:p w14:paraId="37FF952B" w14:textId="77777777" w:rsidR="003547B9" w:rsidRDefault="003547B9" w:rsidP="003547B9">
      <w:r>
        <w:t>Date of review____________________________________________________________</w:t>
      </w:r>
    </w:p>
    <w:p w14:paraId="630A66C4" w14:textId="77777777" w:rsidR="003547B9" w:rsidRDefault="003547B9" w:rsidP="003547B9">
      <w:r>
        <w:t>Signed on behalf of the management committee:</w:t>
      </w:r>
    </w:p>
    <w:p w14:paraId="2115465F" w14:textId="77777777" w:rsidR="003547B9" w:rsidRDefault="003547B9" w:rsidP="003547B9">
      <w:r>
        <w:t>Name of Signatory_________________________________________________________</w:t>
      </w:r>
    </w:p>
    <w:p w14:paraId="483963D5" w14:textId="77777777" w:rsidR="003547B9" w:rsidRDefault="003547B9" w:rsidP="003547B9">
      <w:r>
        <w:t>Signature________________________________________________________________</w:t>
      </w:r>
    </w:p>
    <w:p w14:paraId="5CB7BA7E" w14:textId="77777777" w:rsidR="003547B9" w:rsidRDefault="003547B9" w:rsidP="003547B9">
      <w:r>
        <w:t>Role of Signatory__________________________________ Date ___________________</w:t>
      </w:r>
    </w:p>
    <w:p w14:paraId="0F7A64FE" w14:textId="77777777" w:rsidR="003547B9" w:rsidRDefault="003547B9" w:rsidP="003547B9">
      <w:pPr>
        <w:pStyle w:val="BodyText"/>
        <w:rPr>
          <w:rFonts w:ascii="Arial" w:eastAsiaTheme="minorHAnsi" w:hAnsi="Arial" w:cs="Arial"/>
          <w:b/>
          <w:i/>
          <w:kern w:val="0"/>
          <w:sz w:val="28"/>
          <w:szCs w:val="28"/>
          <w:lang w:eastAsia="en-US" w:bidi="ar-SA"/>
        </w:rPr>
      </w:pPr>
    </w:p>
    <w:p w14:paraId="0F235D1B" w14:textId="77777777" w:rsidR="003547B9" w:rsidRPr="003547B9" w:rsidRDefault="003547B9" w:rsidP="003547B9">
      <w:pPr>
        <w:suppressAutoHyphens/>
        <w:spacing w:after="0" w:line="360" w:lineRule="auto"/>
        <w:jc w:val="both"/>
        <w:rPr>
          <w:rFonts w:ascii="Arial" w:hAnsi="Arial" w:cs="Arial"/>
          <w:sz w:val="20"/>
          <w:szCs w:val="20"/>
        </w:rPr>
      </w:pPr>
    </w:p>
    <w:sectPr w:rsidR="003547B9" w:rsidRPr="003547B9" w:rsidSect="00C930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7E2B" w14:textId="77777777" w:rsidR="00C930EB" w:rsidRDefault="00C930EB" w:rsidP="00F853E7">
      <w:pPr>
        <w:spacing w:after="0" w:line="240" w:lineRule="auto"/>
      </w:pPr>
      <w:r>
        <w:separator/>
      </w:r>
    </w:p>
  </w:endnote>
  <w:endnote w:type="continuationSeparator" w:id="0">
    <w:p w14:paraId="32659295" w14:textId="77777777" w:rsidR="00C930EB" w:rsidRDefault="00C930EB"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F" w14:textId="77777777" w:rsidR="00637004" w:rsidRDefault="0063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90" w14:textId="77777777" w:rsidR="00637004" w:rsidRDefault="0063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A1" w14:textId="77777777" w:rsidR="00A95C2F" w:rsidRDefault="00A95C2F" w:rsidP="00F853E7">
    <w:pPr>
      <w:pStyle w:val="Footer"/>
      <w:jc w:val="center"/>
      <w:rPr>
        <w:szCs w:val="20"/>
      </w:rPr>
    </w:pPr>
  </w:p>
  <w:p w14:paraId="73ED17A2" w14:textId="77777777" w:rsidR="008667A4" w:rsidRPr="008872FD" w:rsidRDefault="008667A4" w:rsidP="00F853E7">
    <w:pPr>
      <w:pStyle w:val="Footer"/>
      <w:jc w:val="center"/>
      <w:rPr>
        <w:szCs w:val="20"/>
      </w:rPr>
    </w:pPr>
    <w:r w:rsidRPr="008872FD">
      <w:rPr>
        <w:szCs w:val="20"/>
      </w:rPr>
      <w:t>Find us at</w:t>
    </w:r>
  </w:p>
  <w:p w14:paraId="73ED17A3" w14:textId="77777777" w:rsidR="008667A4" w:rsidRDefault="008A1399"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73ED17A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51C6" w14:textId="77777777" w:rsidR="00C930EB" w:rsidRDefault="00C930EB" w:rsidP="00F853E7">
      <w:pPr>
        <w:spacing w:after="0" w:line="240" w:lineRule="auto"/>
      </w:pPr>
      <w:r>
        <w:separator/>
      </w:r>
    </w:p>
  </w:footnote>
  <w:footnote w:type="continuationSeparator" w:id="0">
    <w:p w14:paraId="70D05917" w14:textId="77777777" w:rsidR="00C930EB" w:rsidRDefault="00C930EB"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D" w14:textId="77777777" w:rsidR="00637004" w:rsidRDefault="0063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E" w14:textId="77777777" w:rsidR="00637004" w:rsidRDefault="0063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73ED1793" w14:textId="77777777" w:rsidTr="0087629C">
      <w:tc>
        <w:tcPr>
          <w:tcW w:w="2660" w:type="dxa"/>
          <w:vMerge w:val="restart"/>
        </w:tcPr>
        <w:p w14:paraId="73ED1791" w14:textId="5E857414" w:rsidR="008667A4" w:rsidRPr="00676815" w:rsidRDefault="00AD4FD9" w:rsidP="0087629C">
          <w:pPr>
            <w:jc w:val="right"/>
            <w:rPr>
              <w:b/>
              <w:color w:val="FF6699"/>
              <w:sz w:val="28"/>
            </w:rPr>
          </w:pPr>
          <w:r>
            <w:rPr>
              <w:b/>
              <w:noProof/>
              <w:color w:val="FF6699"/>
              <w:sz w:val="28"/>
            </w:rPr>
            <w:drawing>
              <wp:inline distT="0" distB="0" distL="0" distR="0" wp14:anchorId="40C2F9F5" wp14:editId="46751C9C">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3ED179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73ED1796" w14:textId="77777777" w:rsidTr="0087629C">
      <w:tc>
        <w:tcPr>
          <w:tcW w:w="2660" w:type="dxa"/>
          <w:vMerge/>
        </w:tcPr>
        <w:p w14:paraId="73ED1794" w14:textId="77777777" w:rsidR="008667A4" w:rsidRPr="00676815" w:rsidRDefault="008667A4" w:rsidP="0087629C">
          <w:pPr>
            <w:jc w:val="right"/>
            <w:rPr>
              <w:rFonts w:cs="Arial"/>
              <w:sz w:val="18"/>
              <w:szCs w:val="20"/>
            </w:rPr>
          </w:pPr>
        </w:p>
      </w:tc>
      <w:tc>
        <w:tcPr>
          <w:tcW w:w="5436" w:type="dxa"/>
        </w:tcPr>
        <w:p w14:paraId="73ED179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73ED179A" w14:textId="77777777" w:rsidTr="0087629C">
      <w:tc>
        <w:tcPr>
          <w:tcW w:w="2660" w:type="dxa"/>
          <w:vMerge/>
        </w:tcPr>
        <w:p w14:paraId="73ED1797" w14:textId="77777777" w:rsidR="008667A4" w:rsidRPr="00676815" w:rsidRDefault="008667A4" w:rsidP="0087629C">
          <w:pPr>
            <w:jc w:val="right"/>
            <w:rPr>
              <w:rFonts w:cs="Arial"/>
              <w:sz w:val="18"/>
              <w:szCs w:val="20"/>
            </w:rPr>
          </w:pPr>
        </w:p>
      </w:tc>
      <w:tc>
        <w:tcPr>
          <w:tcW w:w="5436" w:type="dxa"/>
        </w:tcPr>
        <w:p w14:paraId="73ED1798" w14:textId="77777777" w:rsidR="008667A4" w:rsidRPr="0088158E" w:rsidRDefault="008667A4" w:rsidP="0087629C">
          <w:pPr>
            <w:jc w:val="center"/>
            <w:rPr>
              <w:rFonts w:cs="Arial"/>
              <w:sz w:val="24"/>
              <w:szCs w:val="20"/>
            </w:rPr>
          </w:pPr>
          <w:r w:rsidRPr="0088158E">
            <w:rPr>
              <w:rFonts w:cs="Arial"/>
              <w:sz w:val="24"/>
              <w:szCs w:val="20"/>
            </w:rPr>
            <w:t>Tel: 07951 309201</w:t>
          </w:r>
        </w:p>
        <w:p w14:paraId="73ED179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73ED179D" w14:textId="77777777" w:rsidTr="0087629C">
      <w:tc>
        <w:tcPr>
          <w:tcW w:w="2660" w:type="dxa"/>
          <w:vMerge/>
        </w:tcPr>
        <w:p w14:paraId="73ED179B" w14:textId="77777777" w:rsidR="008667A4" w:rsidRPr="00676815" w:rsidRDefault="008667A4" w:rsidP="0087629C">
          <w:pPr>
            <w:jc w:val="right"/>
            <w:rPr>
              <w:rFonts w:cs="Arial"/>
              <w:sz w:val="18"/>
              <w:szCs w:val="20"/>
            </w:rPr>
          </w:pPr>
        </w:p>
      </w:tc>
      <w:tc>
        <w:tcPr>
          <w:tcW w:w="5436" w:type="dxa"/>
        </w:tcPr>
        <w:p w14:paraId="73ED179C"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637004">
            <w:rPr>
              <w:rFonts w:cs="Arial"/>
              <w:sz w:val="24"/>
              <w:szCs w:val="20"/>
            </w:rPr>
            <w:t>1017300</w:t>
          </w:r>
        </w:p>
      </w:tc>
    </w:tr>
    <w:tr w:rsidR="008667A4" w14:paraId="73ED179F" w14:textId="77777777" w:rsidTr="00CD3F01">
      <w:trPr>
        <w:gridAfter w:val="1"/>
        <w:wAfter w:w="5436" w:type="dxa"/>
        <w:trHeight w:val="220"/>
      </w:trPr>
      <w:tc>
        <w:tcPr>
          <w:tcW w:w="2660" w:type="dxa"/>
          <w:vMerge/>
        </w:tcPr>
        <w:p w14:paraId="73ED179E" w14:textId="77777777" w:rsidR="008667A4" w:rsidRPr="00676815" w:rsidRDefault="008667A4" w:rsidP="0087629C">
          <w:pPr>
            <w:jc w:val="right"/>
            <w:rPr>
              <w:rFonts w:cs="Arial"/>
              <w:sz w:val="18"/>
              <w:szCs w:val="20"/>
            </w:rPr>
          </w:pPr>
        </w:p>
      </w:tc>
    </w:tr>
  </w:tbl>
  <w:p w14:paraId="73ED17A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4F81BD"/>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4F81BD"/>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4F81BD"/>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4F81BD"/>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olor w:val="4F81BD"/>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olor w:val="4F81BD"/>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786" w:hanging="360"/>
      </w:pPr>
      <w:rPr>
        <w:rFonts w:ascii="Arial-BoldMT" w:hAnsi="Arial-BoldMT"/>
        <w:color w:val="4F81BD"/>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color w:val="4F81BD"/>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Wingdings" w:hAnsi="Wingdings"/>
        <w:color w:val="4F81BD"/>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Wingdings" w:hAnsi="Wingdings"/>
        <w:color w:val="4F81BD"/>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Wingdings" w:hAnsi="Wingdings"/>
        <w:sz w:val="20"/>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olor w:val="4F81BD"/>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color w:val="4F81BD"/>
      </w:rPr>
    </w:lvl>
  </w:abstractNum>
  <w:abstractNum w:abstractNumId="17" w15:restartNumberingAfterBreak="0">
    <w:nsid w:val="08F422BA"/>
    <w:multiLevelType w:val="hybridMultilevel"/>
    <w:tmpl w:val="C6DA2D18"/>
    <w:lvl w:ilvl="0" w:tplc="368C1F94">
      <w:start w:val="161"/>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B4D08"/>
    <w:multiLevelType w:val="hybridMultilevel"/>
    <w:tmpl w:val="00F4F370"/>
    <w:lvl w:ilvl="0" w:tplc="AD6EFB4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817795">
    <w:abstractNumId w:val="0"/>
  </w:num>
  <w:num w:numId="2" w16cid:durableId="2133009182">
    <w:abstractNumId w:val="1"/>
  </w:num>
  <w:num w:numId="3" w16cid:durableId="1012683674">
    <w:abstractNumId w:val="2"/>
  </w:num>
  <w:num w:numId="4" w16cid:durableId="2076005972">
    <w:abstractNumId w:val="20"/>
  </w:num>
  <w:num w:numId="5" w16cid:durableId="1289824369">
    <w:abstractNumId w:val="18"/>
  </w:num>
  <w:num w:numId="6" w16cid:durableId="282538033">
    <w:abstractNumId w:val="24"/>
  </w:num>
  <w:num w:numId="7" w16cid:durableId="1191994311">
    <w:abstractNumId w:val="23"/>
  </w:num>
  <w:num w:numId="8" w16cid:durableId="997417830">
    <w:abstractNumId w:val="19"/>
  </w:num>
  <w:num w:numId="9" w16cid:durableId="2142921284">
    <w:abstractNumId w:val="21"/>
  </w:num>
  <w:num w:numId="10" w16cid:durableId="720783221">
    <w:abstractNumId w:val="3"/>
  </w:num>
  <w:num w:numId="11" w16cid:durableId="928150383">
    <w:abstractNumId w:val="4"/>
  </w:num>
  <w:num w:numId="12" w16cid:durableId="1417823436">
    <w:abstractNumId w:val="5"/>
  </w:num>
  <w:num w:numId="13" w16cid:durableId="1151604353">
    <w:abstractNumId w:val="6"/>
  </w:num>
  <w:num w:numId="14" w16cid:durableId="915162535">
    <w:abstractNumId w:val="7"/>
  </w:num>
  <w:num w:numId="15" w16cid:durableId="695159055">
    <w:abstractNumId w:val="8"/>
  </w:num>
  <w:num w:numId="16" w16cid:durableId="344747814">
    <w:abstractNumId w:val="9"/>
  </w:num>
  <w:num w:numId="17" w16cid:durableId="296377154">
    <w:abstractNumId w:val="10"/>
  </w:num>
  <w:num w:numId="18" w16cid:durableId="1658998576">
    <w:abstractNumId w:val="11"/>
  </w:num>
  <w:num w:numId="19" w16cid:durableId="596450966">
    <w:abstractNumId w:val="12"/>
  </w:num>
  <w:num w:numId="20" w16cid:durableId="1545945049">
    <w:abstractNumId w:val="13"/>
  </w:num>
  <w:num w:numId="21" w16cid:durableId="1093236516">
    <w:abstractNumId w:val="14"/>
  </w:num>
  <w:num w:numId="22" w16cid:durableId="1415205387">
    <w:abstractNumId w:val="15"/>
  </w:num>
  <w:num w:numId="23" w16cid:durableId="567568645">
    <w:abstractNumId w:val="16"/>
  </w:num>
  <w:num w:numId="24" w16cid:durableId="1394891944">
    <w:abstractNumId w:val="17"/>
  </w:num>
  <w:num w:numId="25" w16cid:durableId="9130121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86D04"/>
    <w:rsid w:val="000B42BA"/>
    <w:rsid w:val="00143F45"/>
    <w:rsid w:val="00147DF9"/>
    <w:rsid w:val="001576DC"/>
    <w:rsid w:val="001967C3"/>
    <w:rsid w:val="001D23E9"/>
    <w:rsid w:val="001D367A"/>
    <w:rsid w:val="001E65C2"/>
    <w:rsid w:val="0023413A"/>
    <w:rsid w:val="00252C8C"/>
    <w:rsid w:val="00281E91"/>
    <w:rsid w:val="003028EA"/>
    <w:rsid w:val="003206D2"/>
    <w:rsid w:val="00322835"/>
    <w:rsid w:val="00341190"/>
    <w:rsid w:val="003547B9"/>
    <w:rsid w:val="00394ECD"/>
    <w:rsid w:val="003E23DA"/>
    <w:rsid w:val="003F0E07"/>
    <w:rsid w:val="003F4F46"/>
    <w:rsid w:val="004057A2"/>
    <w:rsid w:val="00415F22"/>
    <w:rsid w:val="00422EFB"/>
    <w:rsid w:val="00444C96"/>
    <w:rsid w:val="004B3CB0"/>
    <w:rsid w:val="00504BF3"/>
    <w:rsid w:val="0051121B"/>
    <w:rsid w:val="00544D53"/>
    <w:rsid w:val="005D3457"/>
    <w:rsid w:val="005E2221"/>
    <w:rsid w:val="005F68F4"/>
    <w:rsid w:val="00616E21"/>
    <w:rsid w:val="00637004"/>
    <w:rsid w:val="006C5985"/>
    <w:rsid w:val="006E4CC5"/>
    <w:rsid w:val="006E6D67"/>
    <w:rsid w:val="00711A9C"/>
    <w:rsid w:val="00726299"/>
    <w:rsid w:val="007378E2"/>
    <w:rsid w:val="007A6DB9"/>
    <w:rsid w:val="007C5CBA"/>
    <w:rsid w:val="00842FA3"/>
    <w:rsid w:val="00843E62"/>
    <w:rsid w:val="00856C11"/>
    <w:rsid w:val="008667A4"/>
    <w:rsid w:val="0087629C"/>
    <w:rsid w:val="0088158E"/>
    <w:rsid w:val="008872FD"/>
    <w:rsid w:val="008A1399"/>
    <w:rsid w:val="008C5985"/>
    <w:rsid w:val="008D1111"/>
    <w:rsid w:val="008D3A56"/>
    <w:rsid w:val="008F7330"/>
    <w:rsid w:val="00925CB6"/>
    <w:rsid w:val="009314BB"/>
    <w:rsid w:val="009C0D08"/>
    <w:rsid w:val="009F307F"/>
    <w:rsid w:val="00A95C2F"/>
    <w:rsid w:val="00A978A9"/>
    <w:rsid w:val="00AD4FD9"/>
    <w:rsid w:val="00AF6462"/>
    <w:rsid w:val="00B045EE"/>
    <w:rsid w:val="00B0695B"/>
    <w:rsid w:val="00B1399F"/>
    <w:rsid w:val="00B6329A"/>
    <w:rsid w:val="00B87E14"/>
    <w:rsid w:val="00B95726"/>
    <w:rsid w:val="00C34268"/>
    <w:rsid w:val="00C4277D"/>
    <w:rsid w:val="00C70243"/>
    <w:rsid w:val="00C8642E"/>
    <w:rsid w:val="00C930EB"/>
    <w:rsid w:val="00CC11F4"/>
    <w:rsid w:val="00CD1C50"/>
    <w:rsid w:val="00CD1C59"/>
    <w:rsid w:val="00CD3F01"/>
    <w:rsid w:val="00CD5A5B"/>
    <w:rsid w:val="00CE4820"/>
    <w:rsid w:val="00D626C5"/>
    <w:rsid w:val="00D70032"/>
    <w:rsid w:val="00D82F58"/>
    <w:rsid w:val="00DA06CF"/>
    <w:rsid w:val="00DB2BD9"/>
    <w:rsid w:val="00E00640"/>
    <w:rsid w:val="00E01DF1"/>
    <w:rsid w:val="00E13408"/>
    <w:rsid w:val="00E3552B"/>
    <w:rsid w:val="00E555A5"/>
    <w:rsid w:val="00E610D6"/>
    <w:rsid w:val="00EA2D2B"/>
    <w:rsid w:val="00EE3280"/>
    <w:rsid w:val="00EE4064"/>
    <w:rsid w:val="00F053DA"/>
    <w:rsid w:val="00F414D0"/>
    <w:rsid w:val="00F853E7"/>
    <w:rsid w:val="00F95FB4"/>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D1759"/>
  <w15:docId w15:val="{8F79885D-9DA7-4EB9-BD1B-22460FA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EA2D2B"/>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9F307F"/>
    <w:pPr>
      <w:outlineLvl w:val="2"/>
    </w:pPr>
    <w:rPr>
      <w:i/>
      <w:color w:val="auto"/>
      <w:sz w:val="28"/>
    </w:rPr>
  </w:style>
  <w:style w:type="paragraph" w:styleId="Heading4">
    <w:name w:val="heading 4"/>
    <w:basedOn w:val="Normal"/>
    <w:next w:val="Normal"/>
    <w:link w:val="Heading4Char"/>
    <w:uiPriority w:val="9"/>
    <w:unhideWhenUsed/>
    <w:qFormat/>
    <w:rsid w:val="009F3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EA2D2B"/>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9F307F"/>
    <w:rPr>
      <w:rFonts w:ascii="Tahoma" w:eastAsiaTheme="majorEastAsia" w:hAnsi="Tahoma" w:cs="Tahoma"/>
      <w:b/>
      <w:bCs/>
      <w:i/>
      <w:sz w:val="28"/>
      <w:szCs w:val="28"/>
    </w:rPr>
  </w:style>
  <w:style w:type="character" w:customStyle="1" w:styleId="Heading4Char">
    <w:name w:val="Heading 4 Char"/>
    <w:basedOn w:val="DefaultParagraphFont"/>
    <w:link w:val="Heading4"/>
    <w:uiPriority w:val="9"/>
    <w:rsid w:val="009F3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79260">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cp:lastPrinted>2018-03-19T16:51:00Z</cp:lastPrinted>
  <dcterms:created xsi:type="dcterms:W3CDTF">2024-03-21T14:00:00Z</dcterms:created>
  <dcterms:modified xsi:type="dcterms:W3CDTF">2024-03-21T14:00:00Z</dcterms:modified>
</cp:coreProperties>
</file>